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B1A1" w14:textId="055D1834" w:rsidR="00BB2842" w:rsidRDefault="00BB2842" w:rsidP="00BB2842">
      <w:pPr>
        <w:spacing w:line="180" w:lineRule="auto"/>
        <w:jc w:val="center"/>
        <w:rPr>
          <w:sz w:val="22"/>
        </w:rPr>
      </w:pPr>
      <w:r w:rsidRPr="005A585E">
        <w:rPr>
          <w:rFonts w:hint="eastAsia"/>
          <w:sz w:val="22"/>
        </w:rPr>
        <w:t>積立金及び補てん金の税務上の取扱い</w:t>
      </w:r>
      <w:r>
        <w:rPr>
          <w:rFonts w:hint="eastAsia"/>
          <w:sz w:val="22"/>
        </w:rPr>
        <w:t>について</w:t>
      </w:r>
    </w:p>
    <w:p w14:paraId="35EDD167" w14:textId="77777777" w:rsidR="00BB2842" w:rsidRPr="005A585E" w:rsidRDefault="00BB2842" w:rsidP="00BB2842">
      <w:pPr>
        <w:spacing w:line="180" w:lineRule="auto"/>
        <w:rPr>
          <w:rFonts w:hint="eastAsia"/>
          <w:sz w:val="22"/>
        </w:rPr>
      </w:pPr>
    </w:p>
    <w:p w14:paraId="3D6F37BE" w14:textId="43BA1A81" w:rsidR="00BB2842" w:rsidRDefault="00BB2842" w:rsidP="00BB2842">
      <w:pPr>
        <w:snapToGrid w:val="0"/>
        <w:spacing w:line="300" w:lineRule="auto"/>
        <w:rPr>
          <w:sz w:val="22"/>
        </w:rPr>
      </w:pPr>
      <w:r w:rsidRPr="005A585E">
        <w:rPr>
          <w:rFonts w:hint="eastAsia"/>
          <w:sz w:val="22"/>
        </w:rPr>
        <w:t>(１)　所得税法及び法人税法の取扱い</w:t>
      </w:r>
    </w:p>
    <w:p w14:paraId="5597A619" w14:textId="77777777" w:rsidR="00B04EB2" w:rsidRPr="005A585E" w:rsidRDefault="00B04EB2" w:rsidP="00BB2842">
      <w:pPr>
        <w:snapToGrid w:val="0"/>
        <w:spacing w:line="300" w:lineRule="auto"/>
        <w:rPr>
          <w:rFonts w:hint="eastAsia"/>
          <w:sz w:val="22"/>
        </w:rPr>
      </w:pPr>
    </w:p>
    <w:p w14:paraId="6EBA4E16" w14:textId="77777777" w:rsidR="00BB2842" w:rsidRPr="005A585E" w:rsidRDefault="00BB2842" w:rsidP="00BB2842">
      <w:pPr>
        <w:snapToGrid w:val="0"/>
        <w:spacing w:line="300" w:lineRule="auto"/>
        <w:ind w:firstLineChars="200" w:firstLine="440"/>
        <w:rPr>
          <w:rFonts w:hint="eastAsia"/>
          <w:sz w:val="22"/>
        </w:rPr>
      </w:pPr>
      <w:r w:rsidRPr="005A585E">
        <w:rPr>
          <w:rFonts w:hint="eastAsia"/>
          <w:sz w:val="22"/>
        </w:rPr>
        <w:t xml:space="preserve">①　通常補てん積立金　　</w:t>
      </w:r>
    </w:p>
    <w:p w14:paraId="7C528891" w14:textId="74608AA2" w:rsidR="00BB2842" w:rsidRDefault="00BB2842" w:rsidP="00BB2842">
      <w:pPr>
        <w:snapToGrid w:val="0"/>
        <w:spacing w:line="300" w:lineRule="auto"/>
        <w:ind w:leftChars="211" w:left="691" w:hangingChars="84" w:hanging="185"/>
        <w:rPr>
          <w:sz w:val="22"/>
        </w:rPr>
      </w:pPr>
      <w:r w:rsidRPr="005A585E">
        <w:rPr>
          <w:rFonts w:hint="eastAsia"/>
          <w:sz w:val="22"/>
        </w:rPr>
        <w:t xml:space="preserve">　　通常補てん積立金は、４事業年度の基本契約期間ごとに、全日基が価格差補てん事業に係る資金として国税庁長官の指定を受けて、所得税法施行令第167条の２又は法人税法施行令第136条の要件に該当するものとして、</w:t>
      </w:r>
      <w:r w:rsidRPr="00B04EB2">
        <w:rPr>
          <w:rFonts w:hint="eastAsia"/>
          <w:sz w:val="22"/>
        </w:rPr>
        <w:t>所得の計算上、必要経費又は損金の額に算入することができます。</w:t>
      </w:r>
    </w:p>
    <w:p w14:paraId="36B35712" w14:textId="77777777" w:rsidR="00B04EB2" w:rsidRPr="00B04EB2" w:rsidRDefault="00B04EB2" w:rsidP="00BB2842">
      <w:pPr>
        <w:snapToGrid w:val="0"/>
        <w:spacing w:line="300" w:lineRule="auto"/>
        <w:ind w:leftChars="211" w:left="691" w:hangingChars="84" w:hanging="185"/>
        <w:rPr>
          <w:rFonts w:hint="eastAsia"/>
          <w:sz w:val="22"/>
        </w:rPr>
      </w:pPr>
    </w:p>
    <w:p w14:paraId="054E1625" w14:textId="77777777" w:rsidR="00BB2842" w:rsidRPr="005A585E" w:rsidRDefault="00BB2842" w:rsidP="00BB2842">
      <w:pPr>
        <w:snapToGrid w:val="0"/>
        <w:spacing w:line="300" w:lineRule="auto"/>
        <w:rPr>
          <w:rFonts w:hint="eastAsia"/>
          <w:sz w:val="22"/>
        </w:rPr>
      </w:pPr>
      <w:r w:rsidRPr="005A585E">
        <w:rPr>
          <w:rFonts w:hint="eastAsia"/>
          <w:sz w:val="22"/>
        </w:rPr>
        <w:t xml:space="preserve">　　②　補てん金</w:t>
      </w:r>
    </w:p>
    <w:p w14:paraId="1FB43979" w14:textId="35CBE1C0" w:rsidR="00BB2842" w:rsidRDefault="00BB2842" w:rsidP="00BB2842">
      <w:pPr>
        <w:snapToGrid w:val="0"/>
        <w:spacing w:line="300" w:lineRule="auto"/>
        <w:ind w:left="631" w:hangingChars="287" w:hanging="631"/>
        <w:rPr>
          <w:sz w:val="22"/>
        </w:rPr>
      </w:pPr>
      <w:r w:rsidRPr="005A585E">
        <w:rPr>
          <w:rFonts w:hint="eastAsia"/>
          <w:sz w:val="22"/>
        </w:rPr>
        <w:t xml:space="preserve">　　　　通常補てん金及び異常補てん金は、非課税所得の要件に該当しませんので、所得の金額の計算上、</w:t>
      </w:r>
      <w:r w:rsidRPr="00BB2842">
        <w:rPr>
          <w:rFonts w:hint="eastAsia"/>
          <w:sz w:val="22"/>
        </w:rPr>
        <w:t>収入金額又は益金に算入する</w:t>
      </w:r>
      <w:r w:rsidRPr="005A585E">
        <w:rPr>
          <w:rFonts w:hint="eastAsia"/>
          <w:sz w:val="22"/>
        </w:rPr>
        <w:t>こととなります。</w:t>
      </w:r>
    </w:p>
    <w:p w14:paraId="69A06654" w14:textId="77777777" w:rsidR="00B04EB2" w:rsidRPr="005A585E" w:rsidRDefault="00B04EB2" w:rsidP="00BB2842">
      <w:pPr>
        <w:snapToGrid w:val="0"/>
        <w:spacing w:line="300" w:lineRule="auto"/>
        <w:ind w:left="631" w:hangingChars="287" w:hanging="631"/>
        <w:rPr>
          <w:rFonts w:hint="eastAsia"/>
          <w:sz w:val="22"/>
        </w:rPr>
      </w:pPr>
    </w:p>
    <w:p w14:paraId="600D9AFE" w14:textId="49828DB7" w:rsidR="00BB2842" w:rsidRDefault="00BB2842" w:rsidP="00BB2842">
      <w:pPr>
        <w:snapToGrid w:val="0"/>
        <w:spacing w:line="300" w:lineRule="auto"/>
        <w:rPr>
          <w:sz w:val="22"/>
        </w:rPr>
      </w:pPr>
      <w:r w:rsidRPr="005A585E">
        <w:rPr>
          <w:rFonts w:hint="eastAsia"/>
          <w:sz w:val="22"/>
        </w:rPr>
        <w:t>(２)　消費税法上の取扱い</w:t>
      </w:r>
    </w:p>
    <w:p w14:paraId="30838038" w14:textId="77777777" w:rsidR="00B04EB2" w:rsidRPr="005A585E" w:rsidRDefault="00B04EB2" w:rsidP="00BB2842">
      <w:pPr>
        <w:snapToGrid w:val="0"/>
        <w:spacing w:line="300" w:lineRule="auto"/>
        <w:rPr>
          <w:rFonts w:hint="eastAsia"/>
          <w:sz w:val="22"/>
        </w:rPr>
      </w:pPr>
    </w:p>
    <w:p w14:paraId="04FFD96B" w14:textId="77777777" w:rsidR="00BB2842" w:rsidRPr="005A585E" w:rsidRDefault="00BB2842" w:rsidP="00BB2842">
      <w:pPr>
        <w:snapToGrid w:val="0"/>
        <w:spacing w:line="300" w:lineRule="auto"/>
        <w:rPr>
          <w:rFonts w:hint="eastAsia"/>
          <w:sz w:val="22"/>
        </w:rPr>
      </w:pPr>
      <w:r w:rsidRPr="005A585E">
        <w:rPr>
          <w:rFonts w:hint="eastAsia"/>
          <w:sz w:val="22"/>
        </w:rPr>
        <w:t xml:space="preserve">　　①　通常補てん積立金</w:t>
      </w:r>
    </w:p>
    <w:p w14:paraId="66449ADC" w14:textId="3FDABCE9" w:rsidR="00BB2842" w:rsidRDefault="00BB2842" w:rsidP="00BB2842">
      <w:pPr>
        <w:snapToGrid w:val="0"/>
        <w:spacing w:line="300" w:lineRule="auto"/>
        <w:ind w:left="631" w:hangingChars="287" w:hanging="631"/>
        <w:rPr>
          <w:sz w:val="22"/>
        </w:rPr>
      </w:pPr>
      <w:r w:rsidRPr="005A585E">
        <w:rPr>
          <w:rFonts w:hint="eastAsia"/>
          <w:sz w:val="22"/>
        </w:rPr>
        <w:t xml:space="preserve">　　　　通常補てん積立金は、消費税法第６条及び別表１の３並びに同法第10条第３項第13号（保険料に類する共済掛金その他保険料に類するものを対価とする役務の提供）に該当し、非課税取扱いとなります。</w:t>
      </w:r>
    </w:p>
    <w:p w14:paraId="458E04F2" w14:textId="77777777" w:rsidR="00B04EB2" w:rsidRPr="005A585E" w:rsidRDefault="00B04EB2" w:rsidP="00BB2842">
      <w:pPr>
        <w:snapToGrid w:val="0"/>
        <w:spacing w:line="300" w:lineRule="auto"/>
        <w:ind w:left="631" w:hangingChars="287" w:hanging="631"/>
        <w:rPr>
          <w:rFonts w:hint="eastAsia"/>
          <w:sz w:val="22"/>
        </w:rPr>
      </w:pPr>
    </w:p>
    <w:p w14:paraId="70F5E494" w14:textId="77777777" w:rsidR="00BB2842" w:rsidRPr="005A585E" w:rsidRDefault="00BB2842" w:rsidP="00BB2842">
      <w:pPr>
        <w:snapToGrid w:val="0"/>
        <w:rPr>
          <w:rFonts w:hint="eastAsia"/>
          <w:sz w:val="22"/>
        </w:rPr>
      </w:pPr>
      <w:r w:rsidRPr="005A585E">
        <w:rPr>
          <w:rFonts w:hint="eastAsia"/>
          <w:sz w:val="22"/>
        </w:rPr>
        <w:t xml:space="preserve">　　②　補てん金</w:t>
      </w:r>
    </w:p>
    <w:p w14:paraId="244EE8DE" w14:textId="77777777" w:rsidR="00BB2842" w:rsidRPr="005A585E" w:rsidRDefault="00BB2842" w:rsidP="00BB2842">
      <w:pPr>
        <w:snapToGrid w:val="0"/>
        <w:ind w:left="631" w:hangingChars="287" w:hanging="631"/>
        <w:rPr>
          <w:rFonts w:hint="eastAsia"/>
          <w:sz w:val="22"/>
        </w:rPr>
      </w:pPr>
      <w:r w:rsidRPr="005A585E">
        <w:rPr>
          <w:rFonts w:hint="eastAsia"/>
          <w:sz w:val="22"/>
        </w:rPr>
        <w:t xml:space="preserve">　　　　通常補てん金及び異常補てん金は、配合飼料価格の大幅な変動（保険事故）に伴い受け取るものであり、保険金又は共済金に準ずるもので、資産の譲渡等に係る対価に該当せず、不課税取引となります。したがって、課税売上に該当せず、消費税は賦課されません。</w:t>
      </w:r>
    </w:p>
    <w:p w14:paraId="70D45B00" w14:textId="079CB9E8" w:rsidR="007C0386" w:rsidRPr="00BB2842" w:rsidRDefault="007C0386" w:rsidP="0083767F">
      <w:pPr>
        <w:ind w:firstLineChars="100" w:firstLine="240"/>
      </w:pPr>
    </w:p>
    <w:sectPr w:rsidR="007C0386" w:rsidRPr="00BB2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F194" w14:textId="77777777" w:rsidR="00BB2842" w:rsidRDefault="00BB2842" w:rsidP="00BB2842">
      <w:r>
        <w:separator/>
      </w:r>
    </w:p>
  </w:endnote>
  <w:endnote w:type="continuationSeparator" w:id="0">
    <w:p w14:paraId="2D6896E8" w14:textId="77777777" w:rsidR="00BB2842" w:rsidRDefault="00BB2842" w:rsidP="00BB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3FB6" w14:textId="77777777" w:rsidR="00BB2842" w:rsidRDefault="00BB2842" w:rsidP="00BB2842">
      <w:r>
        <w:separator/>
      </w:r>
    </w:p>
  </w:footnote>
  <w:footnote w:type="continuationSeparator" w:id="0">
    <w:p w14:paraId="356DDAD4" w14:textId="77777777" w:rsidR="00BB2842" w:rsidRDefault="00BB2842" w:rsidP="00BB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D6"/>
    <w:rsid w:val="00025463"/>
    <w:rsid w:val="00202E1C"/>
    <w:rsid w:val="002968D6"/>
    <w:rsid w:val="002E252B"/>
    <w:rsid w:val="00403176"/>
    <w:rsid w:val="00405FBD"/>
    <w:rsid w:val="00413207"/>
    <w:rsid w:val="005A142B"/>
    <w:rsid w:val="006140F1"/>
    <w:rsid w:val="00650C6E"/>
    <w:rsid w:val="006D2FF4"/>
    <w:rsid w:val="00746653"/>
    <w:rsid w:val="007657D6"/>
    <w:rsid w:val="007C0386"/>
    <w:rsid w:val="00827C4D"/>
    <w:rsid w:val="0083767F"/>
    <w:rsid w:val="008455B0"/>
    <w:rsid w:val="009C17B5"/>
    <w:rsid w:val="00A11838"/>
    <w:rsid w:val="00A473AF"/>
    <w:rsid w:val="00B04EB2"/>
    <w:rsid w:val="00BB2842"/>
    <w:rsid w:val="00C679C4"/>
    <w:rsid w:val="00C71011"/>
    <w:rsid w:val="00CC2802"/>
    <w:rsid w:val="00D10604"/>
    <w:rsid w:val="00D56EF7"/>
    <w:rsid w:val="00E55E5E"/>
    <w:rsid w:val="00E6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72770"/>
  <w15:chartTrackingRefBased/>
  <w15:docId w15:val="{8C38298E-EE11-4E07-8EDA-A4DF1DFD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842"/>
    <w:pPr>
      <w:tabs>
        <w:tab w:val="center" w:pos="4252"/>
        <w:tab w:val="right" w:pos="8504"/>
      </w:tabs>
      <w:snapToGrid w:val="0"/>
    </w:pPr>
  </w:style>
  <w:style w:type="character" w:customStyle="1" w:styleId="a4">
    <w:name w:val="ヘッダー (文字)"/>
    <w:basedOn w:val="a0"/>
    <w:link w:val="a3"/>
    <w:uiPriority w:val="99"/>
    <w:rsid w:val="00BB2842"/>
  </w:style>
  <w:style w:type="paragraph" w:styleId="a5">
    <w:name w:val="footer"/>
    <w:basedOn w:val="a"/>
    <w:link w:val="a6"/>
    <w:uiPriority w:val="99"/>
    <w:unhideWhenUsed/>
    <w:rsid w:val="00BB2842"/>
    <w:pPr>
      <w:tabs>
        <w:tab w:val="center" w:pos="4252"/>
        <w:tab w:val="right" w:pos="8504"/>
      </w:tabs>
      <w:snapToGrid w:val="0"/>
    </w:pPr>
  </w:style>
  <w:style w:type="character" w:customStyle="1" w:styleId="a6">
    <w:name w:val="フッター (文字)"/>
    <w:basedOn w:val="a0"/>
    <w:link w:val="a5"/>
    <w:uiPriority w:val="99"/>
    <w:rsid w:val="00BB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user01</cp:lastModifiedBy>
  <cp:revision>27</cp:revision>
  <cp:lastPrinted>2021-08-31T03:00:00Z</cp:lastPrinted>
  <dcterms:created xsi:type="dcterms:W3CDTF">2020-06-04T02:00:00Z</dcterms:created>
  <dcterms:modified xsi:type="dcterms:W3CDTF">2021-08-31T04:41:00Z</dcterms:modified>
</cp:coreProperties>
</file>